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E15" w:rsidRPr="00E62E15" w:rsidRDefault="00E62E15" w:rsidP="00E62E15">
      <w:pPr>
        <w:spacing w:line="480" w:lineRule="auto"/>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t>Name of Student</w:t>
      </w:r>
    </w:p>
    <w:p w:rsidR="00E62E15" w:rsidRPr="00E62E15" w:rsidRDefault="00E62E15" w:rsidP="00E62E15">
      <w:pPr>
        <w:spacing w:line="480" w:lineRule="auto"/>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t xml:space="preserve">Professors Name </w:t>
      </w:r>
    </w:p>
    <w:p w:rsidR="00E62E15" w:rsidRPr="00E62E15" w:rsidRDefault="00E62E15" w:rsidP="00E62E15">
      <w:pPr>
        <w:spacing w:line="480" w:lineRule="auto"/>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t>Course Details</w:t>
      </w:r>
    </w:p>
    <w:p w:rsidR="00E62E15" w:rsidRPr="00E62E15" w:rsidRDefault="00E62E15" w:rsidP="00E62E15">
      <w:pPr>
        <w:spacing w:line="480" w:lineRule="auto"/>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t>Date</w:t>
      </w:r>
    </w:p>
    <w:p w:rsidR="00E62E15" w:rsidRPr="00E62E15" w:rsidRDefault="00E62E15" w:rsidP="00E62E15">
      <w:pPr>
        <w:spacing w:line="480" w:lineRule="auto"/>
        <w:rPr>
          <w:rStyle w:val="t"/>
          <w:rFonts w:ascii="Times New Roman" w:hAnsi="Times New Roman" w:cs="Times New Roman"/>
          <w:b/>
          <w:sz w:val="24"/>
          <w:szCs w:val="24"/>
          <w:bdr w:val="none" w:sz="0" w:space="0" w:color="auto" w:frame="1"/>
          <w:shd w:val="clear" w:color="auto" w:fill="FFFFFF"/>
        </w:rPr>
      </w:pPr>
      <w:r w:rsidRPr="00E62E15">
        <w:rPr>
          <w:rStyle w:val="t"/>
          <w:rFonts w:ascii="Times New Roman" w:hAnsi="Times New Roman" w:cs="Times New Roman"/>
          <w:b/>
          <w:sz w:val="24"/>
          <w:szCs w:val="24"/>
          <w:bdr w:val="none" w:sz="0" w:space="0" w:color="auto" w:frame="1"/>
          <w:shd w:val="clear" w:color="auto" w:fill="FFFFFF"/>
        </w:rPr>
        <w:t>Some experts predict that in the future, there are likely to be fewer but larger labor organizations. Discuss some advantages and disadvantages of the so-called One Big Union approach to representing ’employees’ interests</w:t>
      </w:r>
    </w:p>
    <w:p w:rsidR="00E62E15" w:rsidRPr="00E62E15" w:rsidRDefault="00E62E15" w:rsidP="00E62E15">
      <w:pPr>
        <w:spacing w:line="480" w:lineRule="auto"/>
        <w:ind w:firstLine="720"/>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t xml:space="preserve">The ‘One Big Union’Union’ approach is a desirable option for employees who are attracted to joining union membership. Therefore, one significant advantage is that such unions encompass all job types, irrelevant to the level of skill within their organization. As members o powerful unions, the employees would be adequately represented, and therefore safe from any imposition of the Criminal Conspiracy Doctrine. However, individual enterprises will be excluded from membership such as stockbrokers, liquor manufacturers, bankers, lawyers, and professional gamblers. The approach also favors the employers in the form of support to achieve specified prerogatives and milestones. Big unions also have significant pull in their negotiations and conflict resolution. They are, therefore, highly influential for their members when challenging corporate giants. Even when employers and employee enact the employment-at-will doctrine, such a union </w:t>
      </w:r>
    </w:p>
    <w:p w:rsidR="00E62E15" w:rsidRPr="00E62E15" w:rsidRDefault="00E62E15" w:rsidP="00E62E15">
      <w:pPr>
        <w:spacing w:line="480" w:lineRule="auto"/>
        <w:ind w:firstLine="720"/>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t xml:space="preserve">However, big unions face the challenge of cooperation and organization such that the union is representative of all its members. An additional demerit is that with such a vast representation of industries and personnel, it becomes inherently difficult for the union to seek </w:t>
      </w:r>
      <w:r w:rsidRPr="00E62E15">
        <w:rPr>
          <w:rStyle w:val="t"/>
          <w:rFonts w:ascii="Times New Roman" w:hAnsi="Times New Roman" w:cs="Times New Roman"/>
          <w:sz w:val="24"/>
          <w:szCs w:val="24"/>
          <w:bdr w:val="none" w:sz="0" w:space="0" w:color="auto" w:frame="1"/>
          <w:shd w:val="clear" w:color="auto" w:fill="FFFFFF"/>
        </w:rPr>
        <w:lastRenderedPageBreak/>
        <w:t xml:space="preserve">benefits that are relevant for each member in their respective fields. The big unions would also need to comply with the Sherman Antitrust Act. A prominent union may serve as monopolies with highly centralized powers of representation, which are prohibited under the act </w:t>
      </w:r>
      <w:r w:rsidRPr="00E62E15">
        <w:rPr>
          <w:rFonts w:ascii="Times New Roman" w:hAnsi="Times New Roman" w:cs="Times New Roman"/>
          <w:noProof/>
          <w:sz w:val="24"/>
          <w:szCs w:val="24"/>
          <w:bdr w:val="none" w:sz="0" w:space="0" w:color="auto" w:frame="1"/>
          <w:shd w:val="clear" w:color="auto" w:fill="FFFFFF"/>
        </w:rPr>
        <w:t>(LeRoy, 2011, p.860)</w:t>
      </w:r>
      <w:r w:rsidRPr="00E62E15">
        <w:rPr>
          <w:rStyle w:val="t"/>
          <w:rFonts w:ascii="Times New Roman" w:hAnsi="Times New Roman" w:cs="Times New Roman"/>
          <w:sz w:val="24"/>
          <w:szCs w:val="24"/>
          <w:bdr w:val="none" w:sz="0" w:space="0" w:color="auto" w:frame="1"/>
          <w:shd w:val="clear" w:color="auto" w:fill="FFFFFF"/>
        </w:rPr>
        <w:t>. The Sherman Antitrust Act prohibits any form of concentration of powers, particularly those that interfere with any industrial trade. The policy stipulates that boycotts and strikes by unions are a form of restraint to commerce, and therefore prohibited for large unions.</w:t>
      </w:r>
    </w:p>
    <w:p w:rsidR="00E62E15" w:rsidRPr="00E62E15" w:rsidRDefault="00E62E15" w:rsidP="00E62E15">
      <w:pPr>
        <w:spacing w:line="480" w:lineRule="auto"/>
        <w:rPr>
          <w:rStyle w:val="t"/>
          <w:rFonts w:ascii="Times New Roman" w:hAnsi="Times New Roman" w:cs="Times New Roman"/>
          <w:sz w:val="24"/>
          <w:szCs w:val="24"/>
          <w:bdr w:val="none" w:sz="0" w:space="0" w:color="auto" w:frame="1"/>
          <w:shd w:val="clear" w:color="auto" w:fill="FFFFFF"/>
        </w:rPr>
      </w:pPr>
      <w:r w:rsidRPr="00E62E15">
        <w:rPr>
          <w:rStyle w:val="t"/>
          <w:rFonts w:ascii="Times New Roman" w:hAnsi="Times New Roman" w:cs="Times New Roman"/>
          <w:sz w:val="24"/>
          <w:szCs w:val="24"/>
          <w:bdr w:val="none" w:sz="0" w:space="0" w:color="auto" w:frame="1"/>
          <w:shd w:val="clear" w:color="auto" w:fill="FFFFFF"/>
        </w:rPr>
        <w:br w:type="page"/>
      </w:r>
    </w:p>
    <w:sdt>
      <w:sdtPr>
        <w:rPr>
          <w:rFonts w:ascii="Times New Roman" w:hAnsi="Times New Roman" w:cs="Times New Roman"/>
          <w:color w:val="auto"/>
          <w:sz w:val="24"/>
          <w:szCs w:val="24"/>
        </w:rPr>
        <w:id w:val="281701362"/>
        <w:docPartObj>
          <w:docPartGallery w:val="Bibliographies"/>
          <w:docPartUnique/>
        </w:docPartObj>
      </w:sdtPr>
      <w:sdtEndPr>
        <w:rPr>
          <w:rFonts w:eastAsiaTheme="minorEastAsia"/>
          <w:b w:val="0"/>
          <w:bCs w:val="0"/>
          <w:lang w:bidi="ar-SA"/>
        </w:rPr>
      </w:sdtEndPr>
      <w:sdtContent>
        <w:p w:rsidR="00E62E15" w:rsidRPr="00E62E15" w:rsidRDefault="00E62E15" w:rsidP="00E62E15">
          <w:pPr>
            <w:pStyle w:val="Heading1"/>
            <w:spacing w:line="480" w:lineRule="auto"/>
            <w:jc w:val="center"/>
            <w:rPr>
              <w:rFonts w:ascii="Times New Roman" w:hAnsi="Times New Roman" w:cs="Times New Roman"/>
              <w:color w:val="auto"/>
              <w:sz w:val="24"/>
              <w:szCs w:val="24"/>
            </w:rPr>
          </w:pPr>
          <w:r w:rsidRPr="00E62E15">
            <w:rPr>
              <w:rFonts w:ascii="Times New Roman" w:hAnsi="Times New Roman" w:cs="Times New Roman"/>
              <w:b w:val="0"/>
              <w:color w:val="auto"/>
              <w:sz w:val="24"/>
              <w:szCs w:val="24"/>
            </w:rPr>
            <w:t>Works Cited</w:t>
          </w:r>
        </w:p>
        <w:p w:rsidR="00E62E15" w:rsidRPr="00E62E15" w:rsidRDefault="00E62E15" w:rsidP="00E62E15">
          <w:pPr>
            <w:pStyle w:val="Bibliography"/>
            <w:spacing w:line="480" w:lineRule="auto"/>
            <w:ind w:left="720" w:hanging="720"/>
            <w:rPr>
              <w:rFonts w:ascii="Times New Roman" w:hAnsi="Times New Roman" w:cs="Times New Roman"/>
              <w:noProof/>
              <w:sz w:val="24"/>
              <w:szCs w:val="24"/>
            </w:rPr>
          </w:pPr>
          <w:r w:rsidRPr="00E62E15">
            <w:rPr>
              <w:rFonts w:ascii="Times New Roman" w:hAnsi="Times New Roman" w:cs="Times New Roman"/>
              <w:sz w:val="24"/>
              <w:szCs w:val="24"/>
            </w:rPr>
            <w:fldChar w:fldCharType="begin"/>
          </w:r>
          <w:r w:rsidRPr="00E62E15">
            <w:rPr>
              <w:rFonts w:ascii="Times New Roman" w:hAnsi="Times New Roman" w:cs="Times New Roman"/>
              <w:sz w:val="24"/>
              <w:szCs w:val="24"/>
            </w:rPr>
            <w:instrText xml:space="preserve"> BIBLIOGRAPHY </w:instrText>
          </w:r>
          <w:r w:rsidRPr="00E62E15">
            <w:rPr>
              <w:rFonts w:ascii="Times New Roman" w:hAnsi="Times New Roman" w:cs="Times New Roman"/>
              <w:sz w:val="24"/>
              <w:szCs w:val="24"/>
            </w:rPr>
            <w:fldChar w:fldCharType="separate"/>
          </w:r>
          <w:r w:rsidRPr="00E62E15">
            <w:rPr>
              <w:rFonts w:ascii="Times New Roman" w:hAnsi="Times New Roman" w:cs="Times New Roman"/>
              <w:noProof/>
              <w:sz w:val="24"/>
              <w:szCs w:val="24"/>
            </w:rPr>
            <w:t xml:space="preserve">LeRoy, Michael H. "The narcotic effect of antitrust law in professional sports: How the Sherman Act subverts collective bargaining." </w:t>
          </w:r>
          <w:r w:rsidRPr="00E62E15">
            <w:rPr>
              <w:rFonts w:ascii="Times New Roman" w:hAnsi="Times New Roman" w:cs="Times New Roman"/>
              <w:noProof/>
              <w:sz w:val="24"/>
              <w:szCs w:val="24"/>
              <w:u w:val="single"/>
            </w:rPr>
            <w:t>Tulane Law Review</w:t>
          </w:r>
          <w:r w:rsidRPr="00E62E15">
            <w:rPr>
              <w:rFonts w:ascii="Times New Roman" w:hAnsi="Times New Roman" w:cs="Times New Roman"/>
              <w:noProof/>
              <w:sz w:val="24"/>
              <w:szCs w:val="24"/>
            </w:rPr>
            <w:t xml:space="preserve"> 86 (2011): 859.</w:t>
          </w:r>
        </w:p>
        <w:p w:rsidR="00E62E15" w:rsidRPr="00E62E15" w:rsidRDefault="00E62E15" w:rsidP="00E62E15">
          <w:pPr>
            <w:spacing w:line="480" w:lineRule="auto"/>
            <w:ind w:left="720" w:hanging="720"/>
            <w:rPr>
              <w:rFonts w:ascii="Times New Roman" w:hAnsi="Times New Roman" w:cs="Times New Roman"/>
              <w:sz w:val="24"/>
              <w:szCs w:val="24"/>
            </w:rPr>
          </w:pPr>
          <w:r w:rsidRPr="00E62E15">
            <w:rPr>
              <w:rFonts w:ascii="Times New Roman" w:hAnsi="Times New Roman" w:cs="Times New Roman"/>
              <w:sz w:val="24"/>
              <w:szCs w:val="24"/>
            </w:rPr>
            <w:fldChar w:fldCharType="end"/>
          </w:r>
        </w:p>
      </w:sdtContent>
    </w:sdt>
    <w:p w:rsidR="003F6824" w:rsidRPr="00E62E15" w:rsidRDefault="003F6824" w:rsidP="00E62E15">
      <w:pPr>
        <w:spacing w:line="480" w:lineRule="auto"/>
        <w:rPr>
          <w:rFonts w:ascii="Times New Roman" w:hAnsi="Times New Roman" w:cs="Times New Roman"/>
          <w:sz w:val="24"/>
          <w:szCs w:val="24"/>
        </w:rPr>
      </w:pPr>
    </w:p>
    <w:sectPr w:rsidR="003F6824" w:rsidRPr="00E62E1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B08" w:rsidRDefault="00E86B08" w:rsidP="00E62E15">
      <w:pPr>
        <w:spacing w:after="0" w:line="240" w:lineRule="auto"/>
      </w:pPr>
      <w:r>
        <w:separator/>
      </w:r>
    </w:p>
  </w:endnote>
  <w:endnote w:type="continuationSeparator" w:id="1">
    <w:p w:rsidR="00E86B08" w:rsidRDefault="00E86B08" w:rsidP="00E62E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B08" w:rsidRDefault="00E86B08" w:rsidP="00E62E15">
      <w:pPr>
        <w:spacing w:after="0" w:line="240" w:lineRule="auto"/>
      </w:pPr>
      <w:r>
        <w:separator/>
      </w:r>
    </w:p>
  </w:footnote>
  <w:footnote w:type="continuationSeparator" w:id="1">
    <w:p w:rsidR="00E86B08" w:rsidRDefault="00E86B08" w:rsidP="00E62E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E15" w:rsidRDefault="00E62E15">
    <w:pPr>
      <w:pStyle w:val="Header"/>
      <w:jc w:val="right"/>
    </w:pPr>
    <w:r>
      <w:t xml:space="preserve">Surname </w:t>
    </w:r>
    <w:sdt>
      <w:sdtPr>
        <w:id w:val="281701365"/>
        <w:docPartObj>
          <w:docPartGallery w:val="Page Numbers (Top of Page)"/>
          <w:docPartUnique/>
        </w:docPartObj>
      </w:sdtPr>
      <w:sdtContent>
        <w:fldSimple w:instr=" PAGE   \* MERGEFORMAT ">
          <w:r>
            <w:rPr>
              <w:noProof/>
            </w:rPr>
            <w:t>1</w:t>
          </w:r>
        </w:fldSimple>
      </w:sdtContent>
    </w:sdt>
  </w:p>
  <w:p w:rsidR="00E62E15" w:rsidRDefault="00E62E1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3F6824"/>
    <w:rsid w:val="003F6824"/>
    <w:rsid w:val="00464B36"/>
    <w:rsid w:val="00611123"/>
    <w:rsid w:val="00B64D2B"/>
    <w:rsid w:val="00E62E15"/>
    <w:rsid w:val="00E86B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2E1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3F6824"/>
  </w:style>
  <w:style w:type="paragraph" w:styleId="BalloonText">
    <w:name w:val="Balloon Text"/>
    <w:basedOn w:val="Normal"/>
    <w:link w:val="BalloonTextChar"/>
    <w:uiPriority w:val="99"/>
    <w:semiHidden/>
    <w:unhideWhenUsed/>
    <w:rsid w:val="00E62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E15"/>
    <w:rPr>
      <w:rFonts w:ascii="Tahoma" w:hAnsi="Tahoma" w:cs="Tahoma"/>
      <w:sz w:val="16"/>
      <w:szCs w:val="16"/>
    </w:rPr>
  </w:style>
  <w:style w:type="character" w:customStyle="1" w:styleId="Heading1Char">
    <w:name w:val="Heading 1 Char"/>
    <w:basedOn w:val="DefaultParagraphFont"/>
    <w:link w:val="Heading1"/>
    <w:uiPriority w:val="9"/>
    <w:rsid w:val="00E62E1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62E15"/>
  </w:style>
  <w:style w:type="paragraph" w:styleId="Header">
    <w:name w:val="header"/>
    <w:basedOn w:val="Normal"/>
    <w:link w:val="HeaderChar"/>
    <w:uiPriority w:val="99"/>
    <w:unhideWhenUsed/>
    <w:rsid w:val="00E62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E15"/>
  </w:style>
  <w:style w:type="paragraph" w:styleId="Footer">
    <w:name w:val="footer"/>
    <w:basedOn w:val="Normal"/>
    <w:link w:val="FooterChar"/>
    <w:uiPriority w:val="99"/>
    <w:semiHidden/>
    <w:unhideWhenUsed/>
    <w:rsid w:val="00E62E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2E1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LeR11</b:Tag>
    <b:SourceType>JournalArticle</b:SourceType>
    <b:Guid>{0C1B27AB-0048-4857-9012-8E8B6CC29E07}</b:Guid>
    <b:LCID>0</b:LCID>
    <b:Author>
      <b:Author>
        <b:NameList>
          <b:Person>
            <b:Last>LeRoy</b:Last>
            <b:First>Michael</b:First>
            <b:Middle>H.</b:Middle>
          </b:Person>
        </b:NameList>
      </b:Author>
    </b:Author>
    <b:Title>The narcotic effect of antitrust law in professional sports: How the Sherman Act subverts collective bargaining.</b:Title>
    <b:Year>2011</b:Year>
    <b:JournalName>Tulane Law Review</b:JournalName>
    <b:Pages>859</b:Pages>
    <b:Volume>86</b:Volume>
    <b:RefOrder>1</b:RefOrder>
  </b:Source>
</b:Sources>
</file>

<file path=customXml/itemProps1.xml><?xml version="1.0" encoding="utf-8"?>
<ds:datastoreItem xmlns:ds="http://schemas.openxmlformats.org/officeDocument/2006/customXml" ds:itemID="{90F95A83-96A4-4ECD-8A75-E5C27534B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2019-09-25T07:33:00Z</dcterms:created>
  <dcterms:modified xsi:type="dcterms:W3CDTF">2019-09-25T08:12:00Z</dcterms:modified>
</cp:coreProperties>
</file>